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6AF05" w14:textId="77777777" w:rsidR="00A56B02" w:rsidRDefault="00A56B02">
      <w:pPr>
        <w:rPr>
          <w:b/>
          <w:bCs/>
          <w:color w:val="2E74B5" w:themeColor="accent5" w:themeShade="BF"/>
          <w:sz w:val="28"/>
          <w:szCs w:val="28"/>
        </w:rPr>
      </w:pPr>
      <w:r>
        <w:rPr>
          <w:b/>
          <w:bCs/>
          <w:noProof/>
          <w:color w:val="5B9BD5" w:themeColor="accent5"/>
          <w:sz w:val="28"/>
          <w:szCs w:val="28"/>
        </w:rPr>
        <w:drawing>
          <wp:inline distT="0" distB="0" distL="0" distR="0" wp14:anchorId="17C3AEC2" wp14:editId="30A19D0C">
            <wp:extent cx="2838450" cy="371475"/>
            <wp:effectExtent l="0" t="0" r="0" b="952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38450" cy="371475"/>
                    </a:xfrm>
                    <a:prstGeom prst="rect">
                      <a:avLst/>
                    </a:prstGeom>
                  </pic:spPr>
                </pic:pic>
              </a:graphicData>
            </a:graphic>
          </wp:inline>
        </w:drawing>
      </w:r>
    </w:p>
    <w:p w14:paraId="04AD00BC" w14:textId="77777777" w:rsidR="00A56B02" w:rsidRDefault="00A56B02">
      <w:pPr>
        <w:rPr>
          <w:b/>
          <w:bCs/>
          <w:color w:val="2E74B5" w:themeColor="accent5" w:themeShade="BF"/>
          <w:sz w:val="28"/>
          <w:szCs w:val="28"/>
        </w:rPr>
      </w:pPr>
    </w:p>
    <w:p w14:paraId="6C1978C1" w14:textId="75096678" w:rsidR="003D4A04" w:rsidRDefault="00D90C5F">
      <w:pPr>
        <w:rPr>
          <w:b/>
          <w:bCs/>
          <w:color w:val="2E74B5" w:themeColor="accent5" w:themeShade="BF"/>
          <w:sz w:val="28"/>
          <w:szCs w:val="28"/>
        </w:rPr>
      </w:pPr>
      <w:r w:rsidRPr="00D90C5F">
        <w:rPr>
          <w:b/>
          <w:bCs/>
          <w:color w:val="2E74B5" w:themeColor="accent5" w:themeShade="BF"/>
          <w:sz w:val="28"/>
          <w:szCs w:val="28"/>
        </w:rPr>
        <w:t>WEEKLY REPORT TO NOBEL HOUSE</w:t>
      </w:r>
    </w:p>
    <w:p w14:paraId="272A7C54" w14:textId="5AE86759" w:rsidR="00D90C5F" w:rsidRPr="00D90C5F" w:rsidRDefault="00D90C5F">
      <w:pPr>
        <w:rPr>
          <w:b/>
          <w:bCs/>
          <w:color w:val="2E74B5" w:themeColor="accent5" w:themeShade="BF"/>
          <w:sz w:val="28"/>
          <w:szCs w:val="28"/>
        </w:rPr>
      </w:pPr>
      <w:r>
        <w:rPr>
          <w:b/>
          <w:bCs/>
          <w:color w:val="2E74B5" w:themeColor="accent5" w:themeShade="BF"/>
          <w:sz w:val="28"/>
          <w:szCs w:val="28"/>
        </w:rPr>
        <w:t xml:space="preserve">Date : </w:t>
      </w:r>
      <w:r w:rsidR="00A56B02">
        <w:rPr>
          <w:b/>
          <w:bCs/>
          <w:color w:val="2E74B5" w:themeColor="accent5" w:themeShade="BF"/>
          <w:sz w:val="28"/>
          <w:szCs w:val="28"/>
        </w:rPr>
        <w:t>Monday 1</w:t>
      </w:r>
      <w:r w:rsidR="00D672F4">
        <w:rPr>
          <w:b/>
          <w:bCs/>
          <w:color w:val="2E74B5" w:themeColor="accent5" w:themeShade="BF"/>
          <w:sz w:val="28"/>
          <w:szCs w:val="28"/>
        </w:rPr>
        <w:t>0</w:t>
      </w:r>
      <w:r w:rsidR="00A56B02">
        <w:rPr>
          <w:b/>
          <w:bCs/>
          <w:color w:val="2E74B5" w:themeColor="accent5" w:themeShade="BF"/>
          <w:sz w:val="28"/>
          <w:szCs w:val="28"/>
        </w:rPr>
        <w:t>th</w:t>
      </w:r>
      <w:r>
        <w:rPr>
          <w:b/>
          <w:bCs/>
          <w:color w:val="2E74B5" w:themeColor="accent5" w:themeShade="BF"/>
          <w:sz w:val="28"/>
          <w:szCs w:val="28"/>
        </w:rPr>
        <w:t xml:space="preserve"> </w:t>
      </w:r>
      <w:r w:rsidR="00D672F4">
        <w:rPr>
          <w:b/>
          <w:bCs/>
          <w:color w:val="2E74B5" w:themeColor="accent5" w:themeShade="BF"/>
          <w:sz w:val="28"/>
          <w:szCs w:val="28"/>
        </w:rPr>
        <w:t>May</w:t>
      </w:r>
      <w:r>
        <w:rPr>
          <w:b/>
          <w:bCs/>
          <w:color w:val="2E74B5" w:themeColor="accent5" w:themeShade="BF"/>
          <w:sz w:val="28"/>
          <w:szCs w:val="28"/>
        </w:rPr>
        <w:t xml:space="preserve"> 2021</w:t>
      </w:r>
    </w:p>
    <w:p w14:paraId="56C25DA9" w14:textId="3618EE3A" w:rsidR="00D90C5F" w:rsidRPr="00D90C5F" w:rsidRDefault="00D90C5F">
      <w:pPr>
        <w:rPr>
          <w:i/>
          <w:iCs/>
        </w:rPr>
      </w:pPr>
      <w:r w:rsidRPr="00D90C5F">
        <w:rPr>
          <w:i/>
          <w:iCs/>
        </w:rPr>
        <w:t>Short summary</w:t>
      </w:r>
      <w:r>
        <w:rPr>
          <w:i/>
          <w:iCs/>
        </w:rPr>
        <w:t xml:space="preserve"> from Aaron about</w:t>
      </w:r>
      <w:r w:rsidRPr="00D90C5F">
        <w:rPr>
          <w:i/>
          <w:iCs/>
        </w:rPr>
        <w:t xml:space="preserve"> </w:t>
      </w:r>
      <w:r>
        <w:rPr>
          <w:i/>
          <w:iCs/>
        </w:rPr>
        <w:t xml:space="preserve">what has happened this week, </w:t>
      </w:r>
      <w:r w:rsidRPr="00D90C5F">
        <w:rPr>
          <w:i/>
          <w:iCs/>
        </w:rPr>
        <w:t>then report belo</w:t>
      </w:r>
      <w:r>
        <w:rPr>
          <w:i/>
          <w:iCs/>
        </w:rPr>
        <w:t>w:</w:t>
      </w:r>
    </w:p>
    <w:tbl>
      <w:tblPr>
        <w:tblStyle w:val="TableGrid"/>
        <w:tblW w:w="0" w:type="auto"/>
        <w:tblLook w:val="04A0" w:firstRow="1" w:lastRow="0" w:firstColumn="1" w:lastColumn="0" w:noHBand="0" w:noVBand="1"/>
      </w:tblPr>
      <w:tblGrid>
        <w:gridCol w:w="3539"/>
        <w:gridCol w:w="4961"/>
      </w:tblGrid>
      <w:tr w:rsidR="00D90C5F" w:rsidRPr="00D90C5F" w14:paraId="75CC37AB" w14:textId="78A6FA43" w:rsidTr="007624B4">
        <w:tc>
          <w:tcPr>
            <w:tcW w:w="3539" w:type="dxa"/>
          </w:tcPr>
          <w:p w14:paraId="723C038B" w14:textId="00BF31E6" w:rsidR="00D90C5F" w:rsidRDefault="00D90C5F" w:rsidP="001133E6">
            <w:r w:rsidRPr="00D90C5F">
              <w:t>L5 Alarm System</w:t>
            </w:r>
            <w:r>
              <w:t xml:space="preserve"> / Waking Watch</w:t>
            </w:r>
            <w:r>
              <w:br/>
            </w:r>
          </w:p>
          <w:p w14:paraId="33C13781" w14:textId="77777777" w:rsidR="00D90C5F" w:rsidRDefault="00D90C5F" w:rsidP="001133E6"/>
          <w:p w14:paraId="447273AB" w14:textId="0360CDBB" w:rsidR="00D90C5F" w:rsidRPr="00D90C5F" w:rsidRDefault="00D90C5F" w:rsidP="001133E6"/>
        </w:tc>
        <w:tc>
          <w:tcPr>
            <w:tcW w:w="4961" w:type="dxa"/>
          </w:tcPr>
          <w:p w14:paraId="33DDB668" w14:textId="51D190C6" w:rsidR="00D672F4" w:rsidRDefault="00D672F4" w:rsidP="00D672F4">
            <w:pPr>
              <w:rPr>
                <w:i/>
                <w:iCs/>
              </w:rPr>
            </w:pPr>
            <w:r>
              <w:rPr>
                <w:i/>
                <w:iCs/>
              </w:rPr>
              <w:t>Four quotations were received and 4QM have asked us to appoint Raven Maintenance based on both their competitive price and the timescale for completion. The cheapest quote was rejected because they weren’t able to start the works until the end of July.</w:t>
            </w:r>
          </w:p>
          <w:p w14:paraId="603994DD" w14:textId="77777777" w:rsidR="00D672F4" w:rsidRDefault="00D672F4" w:rsidP="00D672F4">
            <w:pPr>
              <w:rPr>
                <w:i/>
                <w:iCs/>
              </w:rPr>
            </w:pPr>
          </w:p>
          <w:p w14:paraId="7E04A74B" w14:textId="77777777" w:rsidR="00D672F4" w:rsidRDefault="00D672F4" w:rsidP="00D672F4">
            <w:pPr>
              <w:rPr>
                <w:i/>
                <w:iCs/>
              </w:rPr>
            </w:pPr>
            <w:r>
              <w:rPr>
                <w:i/>
                <w:iCs/>
              </w:rPr>
              <w:t>We will therefore proceed to ask Raven Maintenance to start this piece of work today (Friday 7</w:t>
            </w:r>
            <w:r w:rsidRPr="00D672F4">
              <w:rPr>
                <w:i/>
                <w:iCs/>
                <w:vertAlign w:val="superscript"/>
              </w:rPr>
              <w:t>th</w:t>
            </w:r>
            <w:r>
              <w:rPr>
                <w:i/>
                <w:iCs/>
              </w:rPr>
              <w:t xml:space="preserve"> May). </w:t>
            </w:r>
          </w:p>
          <w:p w14:paraId="0603547E" w14:textId="77777777" w:rsidR="00D672F4" w:rsidRDefault="00D672F4" w:rsidP="00D672F4">
            <w:pPr>
              <w:rPr>
                <w:i/>
                <w:iCs/>
              </w:rPr>
            </w:pPr>
          </w:p>
          <w:p w14:paraId="145C18FD" w14:textId="0770DE65" w:rsidR="00D672F4" w:rsidRDefault="00D672F4" w:rsidP="00D672F4">
            <w:pPr>
              <w:rPr>
                <w:i/>
                <w:iCs/>
              </w:rPr>
            </w:pPr>
            <w:r>
              <w:rPr>
                <w:i/>
                <w:iCs/>
              </w:rPr>
              <w:t>The initial two weeks will be spent ordering equipment and liaising with residents to arrange access to residents’ homes and then a further four/five weeks is planned for the actual installation.</w:t>
            </w:r>
          </w:p>
          <w:p w14:paraId="63043AED" w14:textId="77777777" w:rsidR="00D672F4" w:rsidRDefault="00D672F4" w:rsidP="00D672F4">
            <w:pPr>
              <w:rPr>
                <w:i/>
                <w:iCs/>
              </w:rPr>
            </w:pPr>
          </w:p>
          <w:p w14:paraId="5BF9E708" w14:textId="77777777" w:rsidR="00FD7BEC" w:rsidRDefault="00D672F4" w:rsidP="00D672F4">
            <w:pPr>
              <w:rPr>
                <w:i/>
                <w:iCs/>
              </w:rPr>
            </w:pPr>
            <w:r>
              <w:rPr>
                <w:i/>
                <w:iCs/>
              </w:rPr>
              <w:t>Completion date is therefore 30</w:t>
            </w:r>
            <w:r w:rsidRPr="00D672F4">
              <w:rPr>
                <w:i/>
                <w:iCs/>
                <w:vertAlign w:val="superscript"/>
              </w:rPr>
              <w:t>th</w:t>
            </w:r>
            <w:r>
              <w:rPr>
                <w:i/>
                <w:iCs/>
              </w:rPr>
              <w:t xml:space="preserve"> June 2021</w:t>
            </w:r>
            <w:r w:rsidR="00FD7BEC">
              <w:rPr>
                <w:i/>
                <w:iCs/>
              </w:rPr>
              <w:t xml:space="preserve">. </w:t>
            </w:r>
          </w:p>
          <w:p w14:paraId="7CE1BD5D" w14:textId="51D8B58C" w:rsidR="00D672F4" w:rsidRDefault="00FD7BEC" w:rsidP="00D672F4">
            <w:pPr>
              <w:rPr>
                <w:i/>
                <w:iCs/>
              </w:rPr>
            </w:pPr>
            <w:r>
              <w:rPr>
                <w:i/>
                <w:iCs/>
              </w:rPr>
              <w:t xml:space="preserve">Please note that this date is </w:t>
            </w:r>
            <w:r w:rsidR="00D672F4">
              <w:rPr>
                <w:i/>
                <w:iCs/>
              </w:rPr>
              <w:t xml:space="preserve">subject to </w:t>
            </w:r>
            <w:r>
              <w:rPr>
                <w:i/>
                <w:iCs/>
              </w:rPr>
              <w:t xml:space="preserve">being able to gain </w:t>
            </w:r>
            <w:r w:rsidR="00D672F4">
              <w:rPr>
                <w:i/>
                <w:iCs/>
              </w:rPr>
              <w:t>access to residents’ homes</w:t>
            </w:r>
            <w:r>
              <w:rPr>
                <w:i/>
                <w:iCs/>
              </w:rPr>
              <w:t xml:space="preserve"> to carry out the work. It is very important that you make every effort to help with this access as any delays will cause extra costs to residents due to the need to continue running the waking watch until the fire alarm is fully commissioned.</w:t>
            </w:r>
          </w:p>
          <w:p w14:paraId="547D87B8" w14:textId="77777777" w:rsidR="00D672F4" w:rsidRDefault="00D672F4" w:rsidP="00D672F4">
            <w:pPr>
              <w:rPr>
                <w:i/>
                <w:iCs/>
              </w:rPr>
            </w:pPr>
          </w:p>
          <w:p w14:paraId="6A231E5D" w14:textId="64E0DB6E" w:rsidR="007C5661" w:rsidRPr="008658FF" w:rsidRDefault="007C5661" w:rsidP="007C5661">
            <w:pPr>
              <w:pStyle w:val="PlainText"/>
              <w:rPr>
                <w:i/>
                <w:iCs/>
              </w:rPr>
            </w:pPr>
            <w:r w:rsidRPr="008658FF">
              <w:rPr>
                <w:b/>
                <w:bCs/>
                <w:i/>
                <w:iCs/>
              </w:rPr>
              <w:t>Note from the Nobel House Cladding Action Group</w:t>
            </w:r>
            <w:r w:rsidRPr="008658FF">
              <w:rPr>
                <w:i/>
                <w:iCs/>
              </w:rPr>
              <w:t>: We heard recently from Teresa Craig in the MP's office that Mr Blunt has had an acknowledgement from the Minister of State for Housing regarding "Mr Blunt’s request for much needed support to the Waking Watch Relief Fund". Just need that acknowledgement to turn into an offer of funding now! and the Action Group is following up on this.</w:t>
            </w:r>
          </w:p>
          <w:p w14:paraId="38DBDC51" w14:textId="40E60C95" w:rsidR="007C5661" w:rsidRPr="00D672F4" w:rsidRDefault="007C5661" w:rsidP="00D672F4">
            <w:pPr>
              <w:rPr>
                <w:i/>
                <w:iCs/>
              </w:rPr>
            </w:pPr>
          </w:p>
        </w:tc>
      </w:tr>
      <w:tr w:rsidR="00D90C5F" w:rsidRPr="00D90C5F" w14:paraId="7A97E1BA" w14:textId="659FF28E" w:rsidTr="007624B4">
        <w:tc>
          <w:tcPr>
            <w:tcW w:w="3539" w:type="dxa"/>
          </w:tcPr>
          <w:p w14:paraId="38AFEA83" w14:textId="0D8154F4" w:rsidR="00D90C5F" w:rsidRDefault="00D90C5F" w:rsidP="001133E6">
            <w:r>
              <w:t>News from CAPITAL</w:t>
            </w:r>
          </w:p>
          <w:p w14:paraId="35A4C2CC" w14:textId="77777777" w:rsidR="00D90C5F" w:rsidRPr="00D90C5F" w:rsidRDefault="00D90C5F" w:rsidP="001133E6"/>
          <w:p w14:paraId="36807F14" w14:textId="21258D71" w:rsidR="00D90C5F" w:rsidRPr="00D90C5F" w:rsidRDefault="00D90C5F" w:rsidP="001133E6"/>
        </w:tc>
        <w:tc>
          <w:tcPr>
            <w:tcW w:w="4961" w:type="dxa"/>
          </w:tcPr>
          <w:p w14:paraId="70E8DB5F" w14:textId="01B9ADC1" w:rsidR="00D672F4" w:rsidRDefault="00D672F4" w:rsidP="00D672F4">
            <w:pPr>
              <w:rPr>
                <w:i/>
                <w:iCs/>
              </w:rPr>
            </w:pPr>
            <w:r w:rsidRPr="00D672F4">
              <w:rPr>
                <w:i/>
                <w:iCs/>
              </w:rPr>
              <w:t>4QM &amp; Avon have signed contracts to form</w:t>
            </w:r>
            <w:r w:rsidR="00FD7BEC">
              <w:rPr>
                <w:i/>
                <w:iCs/>
              </w:rPr>
              <w:t>al</w:t>
            </w:r>
            <w:r w:rsidRPr="00D672F4">
              <w:rPr>
                <w:i/>
                <w:iCs/>
              </w:rPr>
              <w:t>ly appoint remedial works contractor</w:t>
            </w:r>
            <w:r>
              <w:rPr>
                <w:i/>
                <w:iCs/>
              </w:rPr>
              <w:t>s</w:t>
            </w:r>
            <w:r w:rsidR="00FD7BEC">
              <w:rPr>
                <w:i/>
                <w:iCs/>
              </w:rPr>
              <w:t>,</w:t>
            </w:r>
            <w:r w:rsidRPr="00D672F4">
              <w:rPr>
                <w:i/>
                <w:iCs/>
              </w:rPr>
              <w:t xml:space="preserve"> </w:t>
            </w:r>
            <w:r>
              <w:rPr>
                <w:i/>
                <w:iCs/>
              </w:rPr>
              <w:t>which</w:t>
            </w:r>
            <w:r w:rsidRPr="00D672F4">
              <w:rPr>
                <w:i/>
                <w:iCs/>
              </w:rPr>
              <w:t xml:space="preserve"> are </w:t>
            </w:r>
            <w:r>
              <w:rPr>
                <w:i/>
                <w:iCs/>
              </w:rPr>
              <w:t xml:space="preserve">now </w:t>
            </w:r>
            <w:r w:rsidRPr="00D672F4">
              <w:rPr>
                <w:i/>
                <w:iCs/>
              </w:rPr>
              <w:t>with the contractor</w:t>
            </w:r>
            <w:r>
              <w:rPr>
                <w:i/>
                <w:iCs/>
              </w:rPr>
              <w:t xml:space="preserve">s </w:t>
            </w:r>
            <w:r w:rsidRPr="00D672F4">
              <w:rPr>
                <w:i/>
                <w:iCs/>
              </w:rPr>
              <w:t>for signature</w:t>
            </w:r>
          </w:p>
          <w:p w14:paraId="44291757" w14:textId="7B2A8C79" w:rsidR="00D672F4" w:rsidRPr="00D672F4" w:rsidRDefault="00D672F4" w:rsidP="00C1647E">
            <w:pPr>
              <w:rPr>
                <w:i/>
                <w:iCs/>
              </w:rPr>
            </w:pPr>
          </w:p>
        </w:tc>
      </w:tr>
      <w:tr w:rsidR="00D90C5F" w:rsidRPr="00D90C5F" w14:paraId="119A1387" w14:textId="777131B4" w:rsidTr="007624B4">
        <w:tc>
          <w:tcPr>
            <w:tcW w:w="3539" w:type="dxa"/>
          </w:tcPr>
          <w:p w14:paraId="543C673E" w14:textId="6ACE7430" w:rsidR="00D90C5F" w:rsidRDefault="00D90C5F" w:rsidP="001133E6">
            <w:r w:rsidRPr="00D90C5F">
              <w:t xml:space="preserve">Progress with </w:t>
            </w:r>
            <w:r>
              <w:t>A</w:t>
            </w:r>
            <w:r w:rsidRPr="00D90C5F">
              <w:t>pplication to the BSF</w:t>
            </w:r>
          </w:p>
          <w:p w14:paraId="0D4C55CB" w14:textId="77777777" w:rsidR="00D90C5F" w:rsidRDefault="00D90C5F" w:rsidP="001133E6"/>
          <w:p w14:paraId="6D23CDC6" w14:textId="755EE321" w:rsidR="00D90C5F" w:rsidRPr="00D90C5F" w:rsidRDefault="00D90C5F" w:rsidP="001133E6"/>
        </w:tc>
        <w:tc>
          <w:tcPr>
            <w:tcW w:w="4961" w:type="dxa"/>
          </w:tcPr>
          <w:p w14:paraId="53496E8D" w14:textId="5F131094" w:rsidR="008E7258" w:rsidRDefault="00D672F4" w:rsidP="00D672F4">
            <w:pPr>
              <w:rPr>
                <w:i/>
                <w:iCs/>
              </w:rPr>
            </w:pPr>
            <w:r>
              <w:rPr>
                <w:i/>
                <w:iCs/>
              </w:rPr>
              <w:t>Mr Blunt MP is talking on our behalf to the BSF</w:t>
            </w:r>
            <w:r w:rsidR="00C1647E">
              <w:rPr>
                <w:rStyle w:val="CommentReference"/>
              </w:rPr>
              <w:t xml:space="preserve"> </w:t>
            </w:r>
            <w:r>
              <w:rPr>
                <w:i/>
                <w:iCs/>
              </w:rPr>
              <w:t xml:space="preserve">along with Capital who are also working to progress our application with the BSF. </w:t>
            </w:r>
          </w:p>
          <w:p w14:paraId="4C8CC312" w14:textId="230D60DB" w:rsidR="00D672F4" w:rsidRPr="00D672F4" w:rsidRDefault="00D672F4" w:rsidP="00D672F4">
            <w:pPr>
              <w:rPr>
                <w:i/>
                <w:iCs/>
              </w:rPr>
            </w:pPr>
          </w:p>
        </w:tc>
      </w:tr>
      <w:tr w:rsidR="00D90C5F" w:rsidRPr="00D90C5F" w14:paraId="19009A44" w14:textId="4F246CF8" w:rsidTr="007624B4">
        <w:tc>
          <w:tcPr>
            <w:tcW w:w="3539" w:type="dxa"/>
          </w:tcPr>
          <w:p w14:paraId="2D8CF604" w14:textId="5234DD3B" w:rsidR="00D90C5F" w:rsidRDefault="00D90C5F" w:rsidP="001133E6">
            <w:r>
              <w:lastRenderedPageBreak/>
              <w:t>Update on NHBC Claim</w:t>
            </w:r>
          </w:p>
          <w:p w14:paraId="4A80BCA3" w14:textId="77777777" w:rsidR="00D90C5F" w:rsidRDefault="00D90C5F" w:rsidP="001133E6"/>
          <w:p w14:paraId="5EEBD96A" w14:textId="13C6BE57" w:rsidR="00D90C5F" w:rsidRPr="00D90C5F" w:rsidRDefault="00D90C5F" w:rsidP="001133E6"/>
        </w:tc>
        <w:tc>
          <w:tcPr>
            <w:tcW w:w="4961" w:type="dxa"/>
          </w:tcPr>
          <w:p w14:paraId="6F8E152D" w14:textId="191179D1" w:rsidR="008E7258" w:rsidRDefault="00D672F4" w:rsidP="00D672F4">
            <w:pPr>
              <w:rPr>
                <w:i/>
                <w:iCs/>
              </w:rPr>
            </w:pPr>
            <w:r>
              <w:rPr>
                <w:i/>
                <w:iCs/>
              </w:rPr>
              <w:t>No further response yet from NHBC since 27</w:t>
            </w:r>
            <w:r w:rsidRPr="00D672F4">
              <w:rPr>
                <w:i/>
                <w:iCs/>
                <w:vertAlign w:val="superscript"/>
              </w:rPr>
              <w:t>th</w:t>
            </w:r>
            <w:r>
              <w:rPr>
                <w:i/>
                <w:iCs/>
              </w:rPr>
              <w:t xml:space="preserve"> April, when they said then there is a backlog of claims and we should expect to hear back from them in 10 working days. Which should therefore be early w/c 10</w:t>
            </w:r>
            <w:r w:rsidRPr="00D672F4">
              <w:rPr>
                <w:i/>
                <w:iCs/>
                <w:vertAlign w:val="superscript"/>
              </w:rPr>
              <w:t>th</w:t>
            </w:r>
            <w:r>
              <w:rPr>
                <w:i/>
                <w:iCs/>
              </w:rPr>
              <w:t xml:space="preserve"> May. If we haven’t heard by then we will chase NHBC  again Monday 10</w:t>
            </w:r>
            <w:r w:rsidRPr="00D672F4">
              <w:rPr>
                <w:i/>
                <w:iCs/>
                <w:vertAlign w:val="superscript"/>
              </w:rPr>
              <w:t>th</w:t>
            </w:r>
            <w:r>
              <w:rPr>
                <w:i/>
                <w:iCs/>
              </w:rPr>
              <w:t xml:space="preserve"> May.</w:t>
            </w:r>
          </w:p>
          <w:p w14:paraId="4375415B" w14:textId="2AA74EFD" w:rsidR="00D672F4" w:rsidRPr="00D672F4" w:rsidRDefault="00D672F4" w:rsidP="00D672F4">
            <w:pPr>
              <w:rPr>
                <w:i/>
                <w:iCs/>
              </w:rPr>
            </w:pPr>
          </w:p>
        </w:tc>
      </w:tr>
      <w:tr w:rsidR="00D90C5F" w:rsidRPr="00D90C5F" w14:paraId="00BF817F" w14:textId="77777777" w:rsidTr="007624B4">
        <w:tc>
          <w:tcPr>
            <w:tcW w:w="3539" w:type="dxa"/>
          </w:tcPr>
          <w:p w14:paraId="1BBB1F06" w14:textId="77777777" w:rsidR="00D90C5F" w:rsidRDefault="00D90C5F" w:rsidP="001133E6">
            <w:r>
              <w:t>Update on Hollybrook Claim</w:t>
            </w:r>
          </w:p>
          <w:p w14:paraId="0194FF75" w14:textId="77777777" w:rsidR="00D90C5F" w:rsidRDefault="00D90C5F" w:rsidP="001133E6"/>
          <w:p w14:paraId="0DC58193" w14:textId="74A1E32C" w:rsidR="00D90C5F" w:rsidRDefault="00D90C5F" w:rsidP="001133E6"/>
        </w:tc>
        <w:tc>
          <w:tcPr>
            <w:tcW w:w="4961" w:type="dxa"/>
          </w:tcPr>
          <w:p w14:paraId="60215BDE" w14:textId="7D923561" w:rsidR="008E7258" w:rsidRDefault="00D672F4" w:rsidP="00D672F4">
            <w:pPr>
              <w:rPr>
                <w:i/>
                <w:iCs/>
              </w:rPr>
            </w:pPr>
            <w:r>
              <w:rPr>
                <w:i/>
                <w:iCs/>
              </w:rPr>
              <w:t>We have heard nothing further since 27</w:t>
            </w:r>
            <w:r w:rsidRPr="00D672F4">
              <w:rPr>
                <w:i/>
                <w:iCs/>
                <w:vertAlign w:val="superscript"/>
              </w:rPr>
              <w:t>th</w:t>
            </w:r>
            <w:r>
              <w:rPr>
                <w:i/>
                <w:iCs/>
              </w:rPr>
              <w:t xml:space="preserve"> April, we will chase again Friday  7</w:t>
            </w:r>
            <w:r w:rsidRPr="00D672F4">
              <w:rPr>
                <w:i/>
                <w:iCs/>
                <w:vertAlign w:val="superscript"/>
              </w:rPr>
              <w:t>th</w:t>
            </w:r>
            <w:r>
              <w:rPr>
                <w:i/>
                <w:iCs/>
              </w:rPr>
              <w:t xml:space="preserve"> May</w:t>
            </w:r>
            <w:r w:rsidR="00C1647E">
              <w:rPr>
                <w:i/>
                <w:iCs/>
              </w:rPr>
              <w:t>. This is in addition to the NHBC to ensure that we exploring all options to recover the costs of the remedial work.</w:t>
            </w:r>
          </w:p>
          <w:p w14:paraId="6D08AC1B" w14:textId="4E7B02A5" w:rsidR="00D672F4" w:rsidRPr="00D672F4" w:rsidRDefault="00D672F4" w:rsidP="00D672F4">
            <w:pPr>
              <w:rPr>
                <w:i/>
                <w:iCs/>
              </w:rPr>
            </w:pPr>
          </w:p>
        </w:tc>
      </w:tr>
      <w:tr w:rsidR="00D90C5F" w:rsidRPr="00D90C5F" w14:paraId="3F7F6490" w14:textId="77777777" w:rsidTr="007624B4">
        <w:tc>
          <w:tcPr>
            <w:tcW w:w="3539" w:type="dxa"/>
          </w:tcPr>
          <w:p w14:paraId="7C483167" w14:textId="77777777" w:rsidR="00D90C5F" w:rsidRDefault="00D90C5F" w:rsidP="001133E6">
            <w:r>
              <w:t>ACTIONS for next week</w:t>
            </w:r>
          </w:p>
          <w:p w14:paraId="1C6F95DB" w14:textId="77777777" w:rsidR="00D90C5F" w:rsidRDefault="00D90C5F" w:rsidP="001133E6"/>
          <w:p w14:paraId="5868479D" w14:textId="789C3A25" w:rsidR="00D90C5F" w:rsidRDefault="00D90C5F" w:rsidP="001133E6"/>
        </w:tc>
        <w:tc>
          <w:tcPr>
            <w:tcW w:w="4961" w:type="dxa"/>
          </w:tcPr>
          <w:p w14:paraId="78A2317E" w14:textId="0F046164" w:rsidR="00D672F4" w:rsidRDefault="00D672F4" w:rsidP="00D672F4">
            <w:r>
              <w:t>Please see above, but main actions being:</w:t>
            </w:r>
          </w:p>
          <w:p w14:paraId="3D146757" w14:textId="77777777" w:rsidR="00D672F4" w:rsidRDefault="00D672F4" w:rsidP="00D672F4">
            <w:pPr>
              <w:pStyle w:val="ListParagraph"/>
              <w:numPr>
                <w:ilvl w:val="0"/>
                <w:numId w:val="9"/>
              </w:numPr>
            </w:pPr>
            <w:r>
              <w:t xml:space="preserve">liaison with residents about the alarm installation </w:t>
            </w:r>
          </w:p>
          <w:p w14:paraId="56776F30" w14:textId="77777777" w:rsidR="00D672F4" w:rsidRDefault="00D672F4" w:rsidP="00D672F4">
            <w:pPr>
              <w:pStyle w:val="ListParagraph"/>
              <w:numPr>
                <w:ilvl w:val="0"/>
                <w:numId w:val="9"/>
              </w:numPr>
            </w:pPr>
            <w:r>
              <w:t xml:space="preserve">continuing to chase NHBC about our claim </w:t>
            </w:r>
          </w:p>
          <w:p w14:paraId="33903CF5" w14:textId="229558AB" w:rsidR="008E7258" w:rsidRPr="00D90C5F" w:rsidRDefault="00D672F4" w:rsidP="00D672F4">
            <w:pPr>
              <w:pStyle w:val="ListParagraph"/>
              <w:numPr>
                <w:ilvl w:val="0"/>
                <w:numId w:val="9"/>
              </w:numPr>
            </w:pPr>
            <w:r>
              <w:t xml:space="preserve">liaising with both Capital and Mr Blunt’s office with regard to the WWRF &amp; BSF claim. </w:t>
            </w:r>
          </w:p>
        </w:tc>
      </w:tr>
    </w:tbl>
    <w:p w14:paraId="54F0B68F" w14:textId="77777777" w:rsidR="00D90C5F" w:rsidRDefault="00D90C5F" w:rsidP="00D90C5F"/>
    <w:sectPr w:rsidR="00D90C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3392"/>
    <w:multiLevelType w:val="hybridMultilevel"/>
    <w:tmpl w:val="6A48B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32AB9"/>
    <w:multiLevelType w:val="hybridMultilevel"/>
    <w:tmpl w:val="56661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1B5843"/>
    <w:multiLevelType w:val="hybridMultilevel"/>
    <w:tmpl w:val="A8BC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647A8E"/>
    <w:multiLevelType w:val="hybridMultilevel"/>
    <w:tmpl w:val="C016A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C810FB"/>
    <w:multiLevelType w:val="hybridMultilevel"/>
    <w:tmpl w:val="5A7C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EE3044"/>
    <w:multiLevelType w:val="hybridMultilevel"/>
    <w:tmpl w:val="DE1E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D54613"/>
    <w:multiLevelType w:val="hybridMultilevel"/>
    <w:tmpl w:val="1B26E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26293F"/>
    <w:multiLevelType w:val="hybridMultilevel"/>
    <w:tmpl w:val="388CD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954BA9"/>
    <w:multiLevelType w:val="hybridMultilevel"/>
    <w:tmpl w:val="C30E8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2"/>
  </w:num>
  <w:num w:numId="5">
    <w:abstractNumId w:val="1"/>
  </w:num>
  <w:num w:numId="6">
    <w:abstractNumId w:val="6"/>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C5F"/>
    <w:rsid w:val="003D4A04"/>
    <w:rsid w:val="006B0CFC"/>
    <w:rsid w:val="007624B4"/>
    <w:rsid w:val="007C5661"/>
    <w:rsid w:val="008658FF"/>
    <w:rsid w:val="008C309D"/>
    <w:rsid w:val="008E7258"/>
    <w:rsid w:val="009805B6"/>
    <w:rsid w:val="00A56B02"/>
    <w:rsid w:val="00A7076D"/>
    <w:rsid w:val="00C1647E"/>
    <w:rsid w:val="00D26ED7"/>
    <w:rsid w:val="00D672F4"/>
    <w:rsid w:val="00D90C5F"/>
    <w:rsid w:val="00E31992"/>
    <w:rsid w:val="00FA4C83"/>
    <w:rsid w:val="00FD7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6EDC"/>
  <w15:chartTrackingRefBased/>
  <w15:docId w15:val="{2661FF3F-EBAB-4B87-ACCF-C422B0CB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0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0C5F"/>
    <w:pPr>
      <w:ind w:left="720"/>
      <w:contextualSpacing/>
    </w:pPr>
  </w:style>
  <w:style w:type="character" w:styleId="Hyperlink">
    <w:name w:val="Hyperlink"/>
    <w:basedOn w:val="DefaultParagraphFont"/>
    <w:uiPriority w:val="99"/>
    <w:unhideWhenUsed/>
    <w:rsid w:val="00A56B02"/>
    <w:rPr>
      <w:color w:val="0563C1" w:themeColor="hyperlink"/>
      <w:u w:val="single"/>
    </w:rPr>
  </w:style>
  <w:style w:type="character" w:styleId="UnresolvedMention">
    <w:name w:val="Unresolved Mention"/>
    <w:basedOn w:val="DefaultParagraphFont"/>
    <w:uiPriority w:val="99"/>
    <w:semiHidden/>
    <w:unhideWhenUsed/>
    <w:rsid w:val="00A56B02"/>
    <w:rPr>
      <w:color w:val="605E5C"/>
      <w:shd w:val="clear" w:color="auto" w:fill="E1DFDD"/>
    </w:rPr>
  </w:style>
  <w:style w:type="character" w:styleId="CommentReference">
    <w:name w:val="annotation reference"/>
    <w:basedOn w:val="DefaultParagraphFont"/>
    <w:uiPriority w:val="99"/>
    <w:semiHidden/>
    <w:unhideWhenUsed/>
    <w:rsid w:val="00FD7BEC"/>
    <w:rPr>
      <w:sz w:val="16"/>
      <w:szCs w:val="16"/>
    </w:rPr>
  </w:style>
  <w:style w:type="paragraph" w:styleId="CommentText">
    <w:name w:val="annotation text"/>
    <w:basedOn w:val="Normal"/>
    <w:link w:val="CommentTextChar"/>
    <w:uiPriority w:val="99"/>
    <w:unhideWhenUsed/>
    <w:rsid w:val="00FD7BEC"/>
    <w:pPr>
      <w:spacing w:line="240" w:lineRule="auto"/>
    </w:pPr>
    <w:rPr>
      <w:sz w:val="20"/>
      <w:szCs w:val="20"/>
    </w:rPr>
  </w:style>
  <w:style w:type="character" w:customStyle="1" w:styleId="CommentTextChar">
    <w:name w:val="Comment Text Char"/>
    <w:basedOn w:val="DefaultParagraphFont"/>
    <w:link w:val="CommentText"/>
    <w:uiPriority w:val="99"/>
    <w:rsid w:val="00FD7BEC"/>
    <w:rPr>
      <w:sz w:val="20"/>
      <w:szCs w:val="20"/>
    </w:rPr>
  </w:style>
  <w:style w:type="paragraph" w:styleId="CommentSubject">
    <w:name w:val="annotation subject"/>
    <w:basedOn w:val="CommentText"/>
    <w:next w:val="CommentText"/>
    <w:link w:val="CommentSubjectChar"/>
    <w:uiPriority w:val="99"/>
    <w:semiHidden/>
    <w:unhideWhenUsed/>
    <w:rsid w:val="00FD7BEC"/>
    <w:rPr>
      <w:b/>
      <w:bCs/>
    </w:rPr>
  </w:style>
  <w:style w:type="character" w:customStyle="1" w:styleId="CommentSubjectChar">
    <w:name w:val="Comment Subject Char"/>
    <w:basedOn w:val="CommentTextChar"/>
    <w:link w:val="CommentSubject"/>
    <w:uiPriority w:val="99"/>
    <w:semiHidden/>
    <w:rsid w:val="00FD7BEC"/>
    <w:rPr>
      <w:b/>
      <w:bCs/>
      <w:sz w:val="20"/>
      <w:szCs w:val="20"/>
    </w:rPr>
  </w:style>
  <w:style w:type="paragraph" w:styleId="PlainText">
    <w:name w:val="Plain Text"/>
    <w:basedOn w:val="Normal"/>
    <w:link w:val="PlainTextChar"/>
    <w:uiPriority w:val="99"/>
    <w:semiHidden/>
    <w:unhideWhenUsed/>
    <w:rsid w:val="007C566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C566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909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4AD2686571EF4DB66281AE118DDB8F" ma:contentTypeVersion="13" ma:contentTypeDescription="Create a new document." ma:contentTypeScope="" ma:versionID="82115f3c2078a2a8864bdb614b24a1c4">
  <xsd:schema xmlns:xsd="http://www.w3.org/2001/XMLSchema" xmlns:xs="http://www.w3.org/2001/XMLSchema" xmlns:p="http://schemas.microsoft.com/office/2006/metadata/properties" xmlns:ns3="6157f30e-6cbb-42a3-91be-e4bd3ccf0dd2" xmlns:ns4="fdccf1be-124c-4c1d-a1a0-6b9172de017d" targetNamespace="http://schemas.microsoft.com/office/2006/metadata/properties" ma:root="true" ma:fieldsID="ae9d336acfa522e58845ee01e1613540" ns3:_="" ns4:_="">
    <xsd:import namespace="6157f30e-6cbb-42a3-91be-e4bd3ccf0dd2"/>
    <xsd:import namespace="fdccf1be-124c-4c1d-a1a0-6b9172de01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7f30e-6cbb-42a3-91be-e4bd3ccf0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ccf1be-124c-4c1d-a1a0-6b9172de0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02FD08-5AB4-49C9-B633-6C8F0F25A02A}">
  <ds:schemaRefs>
    <ds:schemaRef ds:uri="http://schemas.microsoft.com/sharepoint/v3/contenttype/forms"/>
  </ds:schemaRefs>
</ds:datastoreItem>
</file>

<file path=customXml/itemProps2.xml><?xml version="1.0" encoding="utf-8"?>
<ds:datastoreItem xmlns:ds="http://schemas.openxmlformats.org/officeDocument/2006/customXml" ds:itemID="{0DF0161F-0879-4228-A25A-925E25B5C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7f30e-6cbb-42a3-91be-e4bd3ccf0dd2"/>
    <ds:schemaRef ds:uri="fdccf1be-124c-4c1d-a1a0-6b9172de0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99230-DF4F-4A12-A8B7-ED61C36567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Maddy Homewood</dc:creator>
  <cp:keywords/>
  <dc:description/>
  <cp:lastModifiedBy>Sarah Thomas</cp:lastModifiedBy>
  <cp:revision>2</cp:revision>
  <dcterms:created xsi:type="dcterms:W3CDTF">2021-05-11T08:02:00Z</dcterms:created>
  <dcterms:modified xsi:type="dcterms:W3CDTF">2021-05-11T08:02:00Z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0x010100684AD2686571EF4DB66281AE118DDB8F</vt:lpwstr>
  </property>
</Properties>
</file>